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C" w:rsidRDefault="00ED4FCC" w:rsidP="00ED4FCC">
      <w:pPr>
        <w:pStyle w:val="a3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C" w:rsidRDefault="00ED4FCC" w:rsidP="00ED4FCC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D4FCC" w:rsidRDefault="00ED4FCC" w:rsidP="00ED4FCC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 КЕЖЕМСКИЙ РАЙОН</w:t>
      </w:r>
    </w:p>
    <w:p w:rsidR="00ED4FCC" w:rsidRDefault="00ED4FCC" w:rsidP="00ED4FCC">
      <w:pPr>
        <w:pStyle w:val="a3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НЕДОКУРСКИЙ СЕЛЬСКИЙ СОВЕТ ДЕПУТАТОВ</w:t>
      </w:r>
    </w:p>
    <w:p w:rsidR="00ED4FCC" w:rsidRDefault="00ED4FCC" w:rsidP="00ED4FCC">
      <w:pPr>
        <w:pStyle w:val="a3"/>
        <w:spacing w:before="0" w:after="0"/>
        <w:ind w:right="-1"/>
        <w:rPr>
          <w:sz w:val="36"/>
          <w:szCs w:val="36"/>
        </w:rPr>
      </w:pPr>
    </w:p>
    <w:p w:rsidR="00ED4FCC" w:rsidRPr="00656553" w:rsidRDefault="00ED4FCC" w:rsidP="00ED4FC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РЕШЕНИЕ</w:t>
      </w:r>
    </w:p>
    <w:p w:rsidR="00ED4FCC" w:rsidRPr="00656553" w:rsidRDefault="00ED4FCC" w:rsidP="00ED4FCC">
      <w:pPr>
        <w:jc w:val="both"/>
        <w:rPr>
          <w:rFonts w:ascii="Times New Roman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27 июля  2015г.</w:t>
      </w:r>
      <w:r w:rsidRPr="00656553">
        <w:rPr>
          <w:rFonts w:ascii="Times New Roman" w:hAnsi="Times New Roman" w:cs="Times New Roman"/>
          <w:sz w:val="24"/>
          <w:szCs w:val="24"/>
        </w:rPr>
        <w:tab/>
        <w:t xml:space="preserve">                          п.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ab/>
      </w:r>
      <w:r w:rsidRPr="00656553">
        <w:rPr>
          <w:rFonts w:ascii="Times New Roman" w:hAnsi="Times New Roman" w:cs="Times New Roman"/>
          <w:sz w:val="24"/>
          <w:szCs w:val="24"/>
        </w:rPr>
        <w:tab/>
      </w:r>
      <w:r w:rsidRPr="00656553">
        <w:rPr>
          <w:rFonts w:ascii="Times New Roman" w:hAnsi="Times New Roman" w:cs="Times New Roman"/>
          <w:sz w:val="24"/>
          <w:szCs w:val="24"/>
        </w:rPr>
        <w:tab/>
        <w:t xml:space="preserve">  №  65-300  </w:t>
      </w:r>
      <w:proofErr w:type="spellStart"/>
      <w:proofErr w:type="gramStart"/>
      <w:r w:rsidRPr="006565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ED4FCC" w:rsidRDefault="00ED4FCC" w:rsidP="00ED4FCC">
      <w:pPr>
        <w:spacing w:after="0"/>
        <w:ind w:left="-6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 организации  и проведении публичных слушаний</w:t>
      </w:r>
    </w:p>
    <w:p w:rsidR="00ED4FCC" w:rsidRPr="00656553" w:rsidRDefault="00ED4FCC" w:rsidP="00ED4FCC">
      <w:pPr>
        <w:spacing w:after="0"/>
        <w:ind w:left="-64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ED4FCC" w:rsidRPr="00656553" w:rsidRDefault="00ED4FCC" w:rsidP="00ED4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ab/>
        <w:t xml:space="preserve">На основании протеста прокурора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 xml:space="preserve"> района на решение 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от01.02.2006№ 13 «О </w:t>
      </w:r>
      <w:proofErr w:type="gramStart"/>
      <w:r w:rsidRPr="0065655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656553">
        <w:rPr>
          <w:rFonts w:ascii="Times New Roman" w:hAnsi="Times New Roman" w:cs="Times New Roman"/>
          <w:sz w:val="24"/>
          <w:szCs w:val="24"/>
        </w:rPr>
        <w:t xml:space="preserve"> о публичных слушаниях в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Недокурском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 xml:space="preserve"> сельсовет»,</w:t>
      </w: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РФ от 29.12.2004 N 190-ФЗ, </w:t>
      </w:r>
      <w:r w:rsidRPr="00656553">
        <w:rPr>
          <w:rFonts w:ascii="Times New Roman" w:hAnsi="Times New Roman" w:cs="Times New Roman"/>
          <w:sz w:val="24"/>
          <w:szCs w:val="24"/>
        </w:rPr>
        <w:t xml:space="preserve">руководствуясь статьями 21 ,38 Устава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656553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656553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sz w:val="24"/>
          <w:szCs w:val="24"/>
        </w:rPr>
        <w:tab/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1. Утвердить Положение о порядке организации и проведени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публичных слушаний 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сельсовете 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(прилагается).</w:t>
      </w:r>
    </w:p>
    <w:p w:rsidR="00ED4FCC" w:rsidRPr="00656553" w:rsidRDefault="00ED4FCC" w:rsidP="00ED4F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Признать утратившим силу решение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Совета депутатов 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01.02.2006  №13   « О 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Положении</w:t>
      </w:r>
      <w:proofErr w:type="gram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публичных слушаниях в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Недокурском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сельсовете»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D4FCC" w:rsidRPr="00656553" w:rsidRDefault="00ED4FCC" w:rsidP="00ED4F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 Н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астоящее решение вступает в силу с момента его официального опубликования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 периодическом издании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Газета»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Приложение к решению 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Совета депутатов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От 27.07.2015 № 65-300р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C2F1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ПОЛОЖЕНИЕ О ПОРЯДКЕ ОРГАНИЗАЦИИ И ПРОВЕДЕНИИ ПУБЛИЧНЫХ СЛУШАНИЙ В НЕДОКУРСКОМ СЕЛЬСОВЕТЕ КЕЖЕМСКОГО РАЙОНА КРАСНОЯРСКОГО КРАЯ.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 Настоящее Положение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Градостроительным кодексом РФ от 29.12.2004 N 190-ФЗ и Уставом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Настоящее Положение устанавливает порядок организации и проведения публичных слушаний в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Недокурском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сельсовете.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1.3. Под публичными слушаниями понимается обсуждение жителями сельсовета  проектов правовых актов органов местного самоуправления по вопросам местного значения и вопросов, оказывающих влияние на условия жизнедеятельности, соблюдение прав и законных интересов жителей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сельсовета. 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1.4. Публичные слушания являются одним из методов стадии консультирования с общественностью наравне с анкетированием, "круглыми столами", согласительными комиссиями (проводятся по инициативе населения, Совета депутатов или главы сельсовета).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1.5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 Участие в публичных слушаниях является свободным и добровольным.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1.6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публичных слушаниях вправе участвовать представители общественности: жители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сельссовета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, затрагивающих их интересы.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1.7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 Расходы, связанные с организацией и проведением публичных слушаний, осуществляются в порядке, предусмотренном действующим законодательством.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1.8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 Результаты публичных слушаний носят для органов местного самоуправления рекомендательный характер.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организации публичных слушаний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2.1. Целями проведения публичных слушаний являются: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а) обеспечение реализации прав граждан Российской Федерации, постоянно (преимущественно) проживающих на территории сельсовета, на непосредственное участие в осуществлении местного самоуправления и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б) подготовка предложений и рекомендаций по проектам правовых актов органов местного самоуправления, выносимым на публичные слушания.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2.2. Задачами публичных слушаний являются: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а) доведение до населения сельсовета полной и точной информации о проектах нормативных правовых актов Совета депутатов и главы сельсовета, а также вопросов, выносимых на публичные слушания;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б) обсуждение и выяснение мнения населения по проектам нормативных правовых актов органов местного самоуправления сельского поселения и вопросам, выносимым на публичные слушания;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в) оценка отношения населения  сельсовета к рассматриваемым проектам нормативных правовых актов  сельского Совета депутатов и главы сельсовета, а также вопросам, выносимым на публичные слушания;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г)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сельсовета;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выявление предложений и рекомендаций физических и юридических лиц, являющихся правообладателями земельных участков и объектов капитального строительства.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3. На публичные слушания должны выноситься: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проект Устава сельского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проект бюджета сельского поселения и отчет о его исполнении;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проекты планов и программ развития сельского поселения;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)проекты правил землепользования и застройки, проекты планировки территорий и проекты межевания территорий;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вопросы предоставления разрешений на условно разрешенный вид использования земельных участков и объектов капитального строительства, е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)в</w:t>
      </w:r>
      <w:proofErr w:type="gram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) вопросы о преобразовании сельского поселения.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4. Инициатива проведения публичных слушаний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4.1. Публичные слушания проводятся по инициативе: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а) населения  сельсовета;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б)  </w:t>
      </w:r>
      <w:proofErr w:type="spell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Совета депутатов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в) главы сельсовета.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4.2. Проведение публичных слушаний по инициативе главы  сельсовета оформляется в виде постановления главы сельсовета о назначении публичных слушаний.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4.3. Проведение публичных слушаний по инициативе Совета депутатов  о проведении публичных слушаний оформляется в виде решения Совета депутатов  о назначении публичных слушаний.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4.4. Для выдвижения инициативы населения сельсовета  о проведении публичных слушаний создается инициативная группа </w:t>
      </w:r>
      <w:r w:rsidRPr="00656553">
        <w:rPr>
          <w:rFonts w:ascii="Times New Roman" w:hAnsi="Times New Roman" w:cs="Times New Roman"/>
          <w:sz w:val="24"/>
          <w:szCs w:val="24"/>
        </w:rPr>
        <w:t xml:space="preserve">- населения муниципального образования численностью не менее       3 % от числа жителей муниципального образования, обладающих избирательным правом. 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1).</w:t>
      </w:r>
    </w:p>
    <w:p w:rsidR="00ED4FCC" w:rsidRPr="00656553" w:rsidRDefault="00ED4FCC" w:rsidP="00ED4FCC">
      <w:pPr>
        <w:ind w:right="-1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4.5</w:t>
      </w:r>
      <w:r w:rsidRPr="00656553">
        <w:rPr>
          <w:rFonts w:ascii="Times New Roman" w:eastAsia="Calibri" w:hAnsi="Times New Roman" w:cs="Times New Roman"/>
          <w:sz w:val="24"/>
          <w:szCs w:val="24"/>
        </w:rPr>
        <w:t>. Право сбора подписей принадлежит совершеннолетнему дееспособному гражданину Российской Федерации.</w:t>
      </w:r>
    </w:p>
    <w:p w:rsidR="00ED4FCC" w:rsidRPr="00656553" w:rsidRDefault="00ED4FCC" w:rsidP="00ED4FCC">
      <w:pPr>
        <w:ind w:right="-13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4.6</w:t>
      </w:r>
      <w:r w:rsidRPr="00656553">
        <w:rPr>
          <w:rFonts w:ascii="Times New Roman" w:eastAsia="Calibri" w:hAnsi="Times New Roman" w:cs="Times New Roman"/>
          <w:sz w:val="24"/>
          <w:szCs w:val="24"/>
        </w:rPr>
        <w:t>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ED4FCC" w:rsidRPr="00656553" w:rsidRDefault="00ED4FCC" w:rsidP="00ED4FCC">
      <w:pPr>
        <w:ind w:right="-1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eastAsia="Calibri" w:hAnsi="Times New Roman" w:cs="Times New Roman"/>
          <w:sz w:val="24"/>
          <w:szCs w:val="24"/>
        </w:rPr>
        <w:t>4.</w:t>
      </w:r>
      <w:r w:rsidRPr="00656553">
        <w:rPr>
          <w:rFonts w:ascii="Times New Roman" w:hAnsi="Times New Roman" w:cs="Times New Roman"/>
          <w:sz w:val="24"/>
          <w:szCs w:val="24"/>
        </w:rPr>
        <w:t>7</w:t>
      </w:r>
      <w:r w:rsidRPr="00656553">
        <w:rPr>
          <w:rFonts w:ascii="Times New Roman" w:eastAsia="Calibri" w:hAnsi="Times New Roman" w:cs="Times New Roman"/>
          <w:sz w:val="24"/>
          <w:szCs w:val="24"/>
        </w:rPr>
        <w:t xml:space="preserve"> Подписи в поддержку проведения публичных слушаний собираются посредством внесения их в подписные листы. Лицо, собирающее подписи, должно представить те</w:t>
      </w:r>
      <w:proofErr w:type="gramStart"/>
      <w:r w:rsidRPr="00656553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656553">
        <w:rPr>
          <w:rFonts w:ascii="Times New Roman" w:eastAsia="Calibri" w:hAnsi="Times New Roman" w:cs="Times New Roman"/>
          <w:sz w:val="24"/>
          <w:szCs w:val="24"/>
        </w:rPr>
        <w:t>оекта муниципального правового акта, выносимого на публичные слушания, по требованию лиц, ставящих свои подписи в подписные листы.</w:t>
      </w:r>
    </w:p>
    <w:p w:rsidR="00ED4FCC" w:rsidRPr="00656553" w:rsidRDefault="00ED4FCC" w:rsidP="00ED4FCC">
      <w:pPr>
        <w:ind w:right="-1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4.8</w:t>
      </w:r>
      <w:r w:rsidRPr="00656553">
        <w:rPr>
          <w:rFonts w:ascii="Times New Roman" w:eastAsia="Calibri" w:hAnsi="Times New Roman" w:cs="Times New Roman"/>
          <w:sz w:val="24"/>
          <w:szCs w:val="24"/>
        </w:rPr>
        <w:t xml:space="preserve">. Житель муниципального образования, ставя свою подпись в подписном листе, собственноручно указывает в нем свою фамилию, имя, отчество, год рождения </w:t>
      </w:r>
      <w:r w:rsidRPr="00656553">
        <w:rPr>
          <w:rFonts w:ascii="Times New Roman" w:eastAsia="Calibri" w:hAnsi="Times New Roman" w:cs="Times New Roman"/>
          <w:b/>
          <w:sz w:val="24"/>
          <w:szCs w:val="24"/>
        </w:rPr>
        <w:t>(в возрасте 18 лет на день сбора подписей – дополнительно день и месяц рождения)</w:t>
      </w:r>
      <w:r w:rsidRPr="00656553">
        <w:rPr>
          <w:rFonts w:ascii="Times New Roman" w:eastAsia="Calibri" w:hAnsi="Times New Roman" w:cs="Times New Roman"/>
          <w:sz w:val="24"/>
          <w:szCs w:val="24"/>
        </w:rPr>
        <w:t>, адрес места жительства, серию и номер паспорта или заменяющего его документ, а также дату внесения подписи.</w:t>
      </w:r>
    </w:p>
    <w:p w:rsidR="00ED4FCC" w:rsidRPr="00656553" w:rsidRDefault="00ED4FCC" w:rsidP="00ED4FCC">
      <w:pPr>
        <w:ind w:right="-13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4.9</w:t>
      </w:r>
      <w:r w:rsidRPr="00656553">
        <w:rPr>
          <w:rFonts w:ascii="Times New Roman" w:eastAsia="Calibri" w:hAnsi="Times New Roman" w:cs="Times New Roman"/>
          <w:sz w:val="24"/>
          <w:szCs w:val="24"/>
        </w:rPr>
        <w:t>. 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 подписи в подписной лист. Нарушение указанных запретов является основание для признания собранных подписей недействительными.</w:t>
      </w:r>
    </w:p>
    <w:p w:rsidR="00ED4FCC" w:rsidRPr="00656553" w:rsidRDefault="00ED4FCC" w:rsidP="00ED4FCC">
      <w:pPr>
        <w:ind w:right="-1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4.10</w:t>
      </w:r>
      <w:r w:rsidRPr="00656553">
        <w:rPr>
          <w:rFonts w:ascii="Times New Roman" w:eastAsia="Calibri" w:hAnsi="Times New Roman" w:cs="Times New Roman"/>
          <w:sz w:val="24"/>
          <w:szCs w:val="24"/>
        </w:rPr>
        <w:t>. Расходы, связанные со сбором подписей, несет инициативная группа.</w:t>
      </w:r>
    </w:p>
    <w:p w:rsidR="00ED4FCC" w:rsidRPr="00656553" w:rsidRDefault="00ED4FCC" w:rsidP="00ED4FCC">
      <w:pPr>
        <w:ind w:right="-1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4.11</w:t>
      </w:r>
      <w:r w:rsidRPr="00656553">
        <w:rPr>
          <w:rFonts w:ascii="Times New Roman" w:eastAsia="Calibri" w:hAnsi="Times New Roman" w:cs="Times New Roman"/>
          <w:sz w:val="24"/>
          <w:szCs w:val="24"/>
        </w:rPr>
        <w:t>.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ED4FCC" w:rsidRPr="00656553" w:rsidRDefault="00ED4FCC" w:rsidP="00ED4FCC">
      <w:pPr>
        <w:ind w:right="-13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eastAsia="Calibri" w:hAnsi="Times New Roman" w:cs="Times New Roman"/>
          <w:sz w:val="24"/>
          <w:szCs w:val="24"/>
        </w:rPr>
        <w:lastRenderedPageBreak/>
        <w:t>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</w:p>
    <w:p w:rsidR="00ED4FCC" w:rsidRPr="00656553" w:rsidRDefault="00ED4FCC" w:rsidP="00ED4FCC">
      <w:pPr>
        <w:ind w:right="-13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53">
        <w:rPr>
          <w:rFonts w:ascii="Times New Roman" w:hAnsi="Times New Roman" w:cs="Times New Roman"/>
          <w:sz w:val="24"/>
          <w:szCs w:val="24"/>
        </w:rPr>
        <w:t>4.12</w:t>
      </w:r>
      <w:r w:rsidRPr="00656553">
        <w:rPr>
          <w:rFonts w:ascii="Times New Roman" w:eastAsia="Calibri" w:hAnsi="Times New Roman" w:cs="Times New Roman"/>
          <w:sz w:val="24"/>
          <w:szCs w:val="24"/>
        </w:rPr>
        <w:t>. После окончания сбора подписей инициативная группа вносит в  Совет  депутатов  предложение о проведении публичных слушаний.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4.13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избираемыми</w:t>
      </w:r>
      <w:proofErr w:type="gram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инициативной группой из своего состава.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4.14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 На своем первом собрании инициативная группа формулирует содержание проекта правового акта сельского поселения или иного вопроса, который предполагается для вынесения на публичные слушания. Те</w:t>
      </w:r>
      <w:proofErr w:type="gramStart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кст пр</w:t>
      </w:r>
      <w:proofErr w:type="gramEnd"/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оекта правового акта или изложенная формулировка вопроса прилагается к протоколу первого заседания инициативной группы и является его неотъемлемой частью. Каждая страница текста заверяется подписями председателя и секретаря инициативной группы.</w:t>
      </w: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656553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4.15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>. Инициативная группа вправе осуществлять сбор подписей жителе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сельсовета 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поддержку инициативы проведения публичных слушаний с момента получения Советом депутато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656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уведомления о создании инициативной группы.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4.16. Сбор подписей жителей сельсовета  в поддержку инициативы проведения публичных слушаний осуществляется членами инициативной группы с использованием подписных листов (приложение 2).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4.17. По окончании сбора подписей все подписные листы брошюруются, нумеруются, прошиваются. На обороте последнего листа брошюры проставляются подписи председателя и секретаря инициативной группы и дата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заверения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сброшюрованных подписных листов.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4.18. Сброшюрованные подписные листы прилагаются к ходатайству инициативной группы в Совет депутатов сельского поселения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Дашковское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просьбой о проведении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Ходатайство инициативной группы о проведении публичных слушаний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 Ходатайство направляется в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Недокурский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сеьскийСовет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депутатов не позднее 7 дней со дня окончания сбора подписей с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приложенными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нему экземпляром протокола первого собрания инициативной группы и списком членов инициативной группы (приложение 1).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5.2. В ходатайстве указываются: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а) проект правового акта органа местного самоуправления или вопрос, требующий выяснения отношения населения сельсовета к рассматриваемому вопросу, выносимому на публичные слушания;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б) обоснование необходимости проведения публичных слушаний;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в) состав участников публичных слушаний;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г) предполагаемые сроки проведения публичных слушаний;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) информационные и иные материалы по усмотрению инициаторов обращения, относящиеся к теме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5.3. Ходатайство о назначении публичных слушаний подписывается всеми членами инициативной группы.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5.4. Ходатайство рассматривается на открытом заседании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Совета с приглашением председателя инициативной группы.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5.5. По результатам рассмотрения ходатайства инициативной группы по проведению публичных слушаний Совет депутатов сельского поселения принимает решение о назначении публичных слушаний либо отказывает в их назначении.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5.6. Основаниями к отказу назначения публичных слушаний по инициативе населения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могут быть: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а) недопустимость в соответствии с федеральным законом, законами Красноярского края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Уставом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проведения публичных слушаний по вопросу, предлагаемому населением для вынесения на публичные слушания;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б) несоблюдение порядка выдвижения инициативы проведения публичных слушаний, предусмотренного пунктами 4.4-4.7 настоящего Положения.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 Порядок организации публичных слушаний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6.1. Решение о назначении публичных слушаний по проектам нормативных правовых актов, указанных в пункте 3.2 , вопросам о преобразовании сельсовета, указанным в пункте 3.2 ("г"), а также вопросам по проектам планов и программ развития сельского поселения (подпункт "в" п. 3.2) настоящего Положения принимается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Недокурским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сельским Советом депутатов.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6.2. Решение о назначении публичных слушаний по вопросам: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- проектов правил землепользования и застройки;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проектов планировки и межевания территорий;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-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- отклонения от предельных параметров разрешенного строительства, реконструкции объектов капитального строительства, настоящего Положения, принимается главой сельсовета.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6.3. Решением о проведении публичных слушаний устанавливаются: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1) место, дата и сроки проведения публичных слушаний;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2) формулировка вопросов и (или) наименование проектов правовых актов, выносимых на публичные слушания;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3) порядок принятия предложений от заинтересованных лиц по вопросам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6.4. Председатель  сельского Совета депутатов  возлагает подготовку и проведение публичных слушаний на комиссию, состоящую из депутатов сельского Совета  и/или (по согласованию) сотрудников администрации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сельсовета, в случае, если публичные слушания проводятся по инициативе Совета депутатов.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6.5. Глава сельсовета возлагает подготовку и проведение публичных слушаний на комиссию, формируемую из сотрудников администрации  и/или (по согласованию) депутатов сельского Совета, если публичные слушания проводятся по инициативе главы  сельсовета.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6.6. При необходимости к деятельности комиссии могут привлекаться (по согласованию) сторонние эксперты и специалисты для оказания консультативной помощи.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 Комиссия по подготовке и проведению публичных слушаний: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6.7.1. Оповещает жителей сельсовета  об инициаторе, вопросе, выносимом на слушания, порядке, месте, дате и времени проведения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6.7.2. Обеспечивает свободный доступ на публичные слушания жителей сельсовета.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6.7.3.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6.7.4. Принимает от жителей сельсовета имеющиеся у них предложения и замечания по вопросу или проекту правового акта, выносимому на публичные слушания.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6.7.5. Анализирует и обобщает все представленные предложения жителей сельсовета, заинтересованных органов и организаций и выносит их на слушания.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6.7.6. Составляет списки участников и выступающих по проекту местного бюджета и проекту отчета об исполнении местного бюджета не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за 10 дней до проведения слушаний (лица, включенные в список выступающих на слушаниях, заблаговременно уведомляются об этом).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6.7.7. Составляет списки участников и выступающих по проектам муниципальных правовых актов и (или) вопросам, подлежащим вынесению на публичные слушания, не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за 14 дней до проведения слушаний (лица, включенные в список выступающих на слушаниях, заблаговременно уведомляются об этом).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6.7.8.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6.7.9. Готовит проекты решений, предлагаемых для рассмотрения на публичных слушаниях.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6.7.10. Взаимодействует с инициатором слушаний, представителями средств массовой информации.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6.8. Проекты муниципальных правовых актов, вынесенные на обсуждение жителей сельсовета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могут рассматриваться на собраниях общественных объединений, жителей сельсовета  по месту учебы, жительства, в трудовых коллективах, а также обсуждаться в средствах массовой информации.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6.9.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Сроки обсуждения жителями сельсовета 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 и (или) вопросах, выносимых на массовое обсуждение, и о времени и месте проведения публичных слушаний до дня опубликования заключения о результатах публичных слушаний.</w:t>
      </w:r>
      <w:proofErr w:type="gramEnd"/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6.10. Замечания и предложения по проекту местного бюджета и проекту отчета об исполнении местного бюджета рассматриваются в течение двух недель.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 Порядок проведения публичных слушаний</w:t>
      </w:r>
    </w:p>
    <w:p w:rsidR="00ED4FCC" w:rsidRPr="00A616E5" w:rsidRDefault="00ED4FCC" w:rsidP="00ED4F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16E5">
        <w:rPr>
          <w:rFonts w:ascii="Times New Roman" w:hAnsi="Times New Roman" w:cs="Times New Roman"/>
          <w:sz w:val="24"/>
          <w:szCs w:val="24"/>
        </w:rPr>
        <w:t xml:space="preserve">1. Организацию и проведение публичных слушаний осуществляет  администрация  </w:t>
      </w:r>
      <w:proofErr w:type="spellStart"/>
      <w:r w:rsidRPr="00A616E5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A616E5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ED4FCC" w:rsidRDefault="00ED4FCC" w:rsidP="00ED4FC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6E5">
        <w:rPr>
          <w:rFonts w:ascii="Times New Roman" w:hAnsi="Times New Roman" w:cs="Times New Roman"/>
          <w:sz w:val="24"/>
          <w:szCs w:val="24"/>
        </w:rPr>
        <w:t xml:space="preserve">2. Проведению публичных слушаний предшествует регистрация участников. Прибывшие на публичные слушания участники подлежат регистрации администрацией  </w:t>
      </w:r>
      <w:proofErr w:type="spellStart"/>
      <w:r w:rsidRPr="00A616E5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A616E5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A6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6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16E5">
        <w:rPr>
          <w:rFonts w:ascii="Times New Roman" w:hAnsi="Times New Roman" w:cs="Times New Roman"/>
          <w:sz w:val="24"/>
          <w:szCs w:val="24"/>
        </w:rPr>
        <w:t xml:space="preserve"> </w:t>
      </w:r>
      <w:r w:rsidRPr="00A6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6E5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 и </w:t>
      </w:r>
      <w:r w:rsidRPr="00A616E5">
        <w:rPr>
          <w:rFonts w:ascii="Times New Roman" w:hAnsi="Times New Roman" w:cs="Times New Roman"/>
          <w:sz w:val="24"/>
          <w:szCs w:val="24"/>
        </w:rPr>
        <w:t xml:space="preserve"> места их постоянного проживани</w:t>
      </w:r>
      <w:r>
        <w:rPr>
          <w:rFonts w:ascii="Times New Roman" w:hAnsi="Times New Roman" w:cs="Times New Roman"/>
          <w:sz w:val="24"/>
          <w:szCs w:val="24"/>
        </w:rPr>
        <w:t>я согласно  листа регистрации участников публичных слушаний(</w:t>
      </w:r>
      <w:r w:rsidRPr="00A616E5">
        <w:rPr>
          <w:rFonts w:ascii="Times New Roman" w:hAnsi="Times New Roman" w:cs="Times New Roman"/>
          <w:sz w:val="24"/>
          <w:szCs w:val="24"/>
        </w:rPr>
        <w:t>.</w:t>
      </w:r>
    </w:p>
    <w:p w:rsidR="00ED4FCC" w:rsidRPr="00F61D68" w:rsidRDefault="00ED4FCC" w:rsidP="00ED4FCC">
      <w:pPr>
        <w:jc w:val="center"/>
      </w:pPr>
      <w:r w:rsidRPr="00020309">
        <w:rPr>
          <w:sz w:val="20"/>
          <w:szCs w:val="20"/>
        </w:rPr>
        <w:lastRenderedPageBreak/>
        <w:t>.</w:t>
      </w:r>
      <w:r w:rsidRPr="00F61D68">
        <w:t xml:space="preserve"> Л И С Т</w:t>
      </w:r>
    </w:p>
    <w:p w:rsidR="00ED4FCC" w:rsidRPr="00F61D68" w:rsidRDefault="00ED4FCC" w:rsidP="00ED4FCC">
      <w:pPr>
        <w:jc w:val="center"/>
      </w:pPr>
      <w:r w:rsidRPr="00F61D68">
        <w:t>регистрации участников публичных слушаний по обсуждению проектов решений</w:t>
      </w:r>
    </w:p>
    <w:p w:rsidR="00ED4FCC" w:rsidRPr="00F61D68" w:rsidRDefault="00ED4FCC" w:rsidP="00ED4FCC">
      <w:pPr>
        <w:jc w:val="center"/>
      </w:pPr>
      <w:r w:rsidRPr="00F61D68">
        <w:t xml:space="preserve">Совета депутатов </w:t>
      </w:r>
      <w:proofErr w:type="spellStart"/>
      <w:r w:rsidRPr="00F61D68">
        <w:t>Недокурского</w:t>
      </w:r>
      <w:proofErr w:type="spellEnd"/>
      <w:r w:rsidRPr="00F61D68">
        <w:t xml:space="preserve"> сельсовета № 54 от19.01.2007г.  «Об исполнении</w:t>
      </w:r>
    </w:p>
    <w:p w:rsidR="00ED4FCC" w:rsidRPr="00F61D68" w:rsidRDefault="00ED4FCC" w:rsidP="00ED4FCC">
      <w:pPr>
        <w:jc w:val="center"/>
      </w:pPr>
      <w:r w:rsidRPr="00F61D68">
        <w:t>бюджета сельсовета за 2006 год» и   № 55 от 19.01.2007г. «О внесении  дополнении</w:t>
      </w:r>
    </w:p>
    <w:p w:rsidR="00ED4FCC" w:rsidRPr="00F61D68" w:rsidRDefault="00ED4FCC" w:rsidP="00ED4FCC">
      <w:pPr>
        <w:jc w:val="center"/>
      </w:pPr>
      <w:r w:rsidRPr="00F61D68">
        <w:t xml:space="preserve">и изменений в Устав </w:t>
      </w:r>
      <w:proofErr w:type="spellStart"/>
      <w:r w:rsidRPr="00F61D68">
        <w:t>Недокурского</w:t>
      </w:r>
      <w:proofErr w:type="spellEnd"/>
      <w:r w:rsidRPr="00F61D68">
        <w:t xml:space="preserve">  сельсовета»</w:t>
      </w:r>
    </w:p>
    <w:p w:rsidR="00ED4FCC" w:rsidRPr="00F61D68" w:rsidRDefault="00ED4FCC" w:rsidP="00ED4FC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779"/>
        <w:gridCol w:w="1173"/>
        <w:gridCol w:w="2785"/>
        <w:gridCol w:w="1036"/>
      </w:tblGrid>
      <w:tr w:rsidR="00ED4FCC" w:rsidTr="00CB214D">
        <w:tc>
          <w:tcPr>
            <w:tcW w:w="417" w:type="pct"/>
          </w:tcPr>
          <w:p w:rsidR="00ED4FCC" w:rsidRDefault="00ED4FCC" w:rsidP="00CB214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4" w:type="pct"/>
          </w:tcPr>
          <w:p w:rsidR="00ED4FCC" w:rsidRDefault="00ED4FCC" w:rsidP="00CB214D">
            <w:pPr>
              <w:jc w:val="center"/>
            </w:pPr>
            <w:r>
              <w:t xml:space="preserve">Фамилия, имя, отчество </w:t>
            </w:r>
          </w:p>
          <w:p w:rsidR="00ED4FCC" w:rsidRDefault="00ED4FCC" w:rsidP="00CB214D">
            <w:pPr>
              <w:jc w:val="center"/>
            </w:pPr>
            <w:r>
              <w:t xml:space="preserve"> </w:t>
            </w:r>
          </w:p>
        </w:tc>
        <w:tc>
          <w:tcPr>
            <w:tcW w:w="613" w:type="pct"/>
          </w:tcPr>
          <w:p w:rsidR="00ED4FCC" w:rsidRDefault="00ED4FCC" w:rsidP="00CB214D">
            <w:pPr>
              <w:jc w:val="center"/>
            </w:pPr>
            <w:r>
              <w:t>Год</w:t>
            </w:r>
          </w:p>
          <w:p w:rsidR="00ED4FCC" w:rsidRDefault="00ED4FCC" w:rsidP="00CB214D">
            <w:pPr>
              <w:jc w:val="center"/>
            </w:pPr>
            <w:r>
              <w:t>рождения</w:t>
            </w:r>
          </w:p>
        </w:tc>
        <w:tc>
          <w:tcPr>
            <w:tcW w:w="1455" w:type="pct"/>
          </w:tcPr>
          <w:p w:rsidR="00ED4FCC" w:rsidRDefault="00ED4FCC" w:rsidP="00CB214D">
            <w:pPr>
              <w:jc w:val="center"/>
            </w:pPr>
            <w:r>
              <w:t>Домашний адрес</w:t>
            </w:r>
          </w:p>
        </w:tc>
        <w:tc>
          <w:tcPr>
            <w:tcW w:w="541" w:type="pct"/>
          </w:tcPr>
          <w:p w:rsidR="00ED4FCC" w:rsidRDefault="00ED4FCC" w:rsidP="00CB214D">
            <w:pPr>
              <w:jc w:val="center"/>
            </w:pPr>
            <w:r>
              <w:t>Роспись</w:t>
            </w:r>
          </w:p>
        </w:tc>
      </w:tr>
      <w:tr w:rsidR="00ED4FCC" w:rsidTr="00CB214D">
        <w:tc>
          <w:tcPr>
            <w:tcW w:w="417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974" w:type="pct"/>
          </w:tcPr>
          <w:p w:rsidR="00ED4FCC" w:rsidRDefault="00ED4FCC" w:rsidP="00CB214D">
            <w:pPr>
              <w:jc w:val="center"/>
            </w:pPr>
          </w:p>
          <w:p w:rsidR="00ED4FCC" w:rsidRDefault="00ED4FCC" w:rsidP="00CB214D">
            <w:pPr>
              <w:jc w:val="center"/>
            </w:pPr>
          </w:p>
        </w:tc>
        <w:tc>
          <w:tcPr>
            <w:tcW w:w="613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455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541" w:type="pct"/>
          </w:tcPr>
          <w:p w:rsidR="00ED4FCC" w:rsidRDefault="00ED4FCC" w:rsidP="00CB214D">
            <w:pPr>
              <w:jc w:val="center"/>
            </w:pPr>
          </w:p>
        </w:tc>
      </w:tr>
      <w:tr w:rsidR="00ED4FCC" w:rsidTr="00CB214D">
        <w:tc>
          <w:tcPr>
            <w:tcW w:w="417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974" w:type="pct"/>
          </w:tcPr>
          <w:p w:rsidR="00ED4FCC" w:rsidRDefault="00ED4FCC" w:rsidP="00CB214D">
            <w:pPr>
              <w:jc w:val="center"/>
            </w:pPr>
          </w:p>
          <w:p w:rsidR="00ED4FCC" w:rsidRDefault="00ED4FCC" w:rsidP="00CB214D">
            <w:pPr>
              <w:jc w:val="center"/>
            </w:pPr>
          </w:p>
        </w:tc>
        <w:tc>
          <w:tcPr>
            <w:tcW w:w="613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455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541" w:type="pct"/>
          </w:tcPr>
          <w:p w:rsidR="00ED4FCC" w:rsidRDefault="00ED4FCC" w:rsidP="00CB214D">
            <w:pPr>
              <w:jc w:val="center"/>
            </w:pPr>
          </w:p>
        </w:tc>
      </w:tr>
      <w:tr w:rsidR="00ED4FCC" w:rsidTr="00CB214D">
        <w:tc>
          <w:tcPr>
            <w:tcW w:w="417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974" w:type="pct"/>
          </w:tcPr>
          <w:p w:rsidR="00ED4FCC" w:rsidRDefault="00ED4FCC" w:rsidP="00CB214D">
            <w:pPr>
              <w:jc w:val="center"/>
            </w:pPr>
          </w:p>
          <w:p w:rsidR="00ED4FCC" w:rsidRDefault="00ED4FCC" w:rsidP="00CB214D">
            <w:pPr>
              <w:jc w:val="center"/>
            </w:pPr>
          </w:p>
        </w:tc>
        <w:tc>
          <w:tcPr>
            <w:tcW w:w="613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1455" w:type="pct"/>
          </w:tcPr>
          <w:p w:rsidR="00ED4FCC" w:rsidRDefault="00ED4FCC" w:rsidP="00CB214D">
            <w:pPr>
              <w:jc w:val="center"/>
            </w:pPr>
          </w:p>
        </w:tc>
        <w:tc>
          <w:tcPr>
            <w:tcW w:w="541" w:type="pct"/>
          </w:tcPr>
          <w:p w:rsidR="00ED4FCC" w:rsidRDefault="00ED4FCC" w:rsidP="00CB214D">
            <w:pPr>
              <w:jc w:val="center"/>
            </w:pPr>
          </w:p>
        </w:tc>
      </w:tr>
    </w:tbl>
    <w:p w:rsidR="00ED4FCC" w:rsidRPr="00020309" w:rsidRDefault="00ED4FCC" w:rsidP="00ED4FC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ED4FCC" w:rsidRPr="00020309" w:rsidRDefault="00ED4FCC" w:rsidP="00ED4FCC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>3. Орган, назначивший проведение публичных слушаний, назначает председательствующего и секретаря.</w:t>
      </w:r>
    </w:p>
    <w:p w:rsidR="00ED4FCC" w:rsidRPr="00020309" w:rsidRDefault="00ED4FCC" w:rsidP="00ED4FCC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 xml:space="preserve">4. Председательствующий публичных слушаний представляется и открывает собрание, оглашает тему слушаний, представляет инициаторов проведения  слушаний, участников (экспертов, иных лиц, подавших заявку на участие), секретаря собрания, ведущего протокол. Протокол подписывается председательствующим на слушаниях и секретарем. </w:t>
      </w:r>
    </w:p>
    <w:p w:rsidR="00ED4FCC" w:rsidRPr="00020309" w:rsidRDefault="00ED4FCC" w:rsidP="00ED4FCC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>5. В протоколе слушаний в обязательном порядке должны быть отражены позиции и мнения участников слушаний по каждому из обсуждаемых вопросов, высказанные ими в ходе слушаний.</w:t>
      </w:r>
    </w:p>
    <w:p w:rsidR="00ED4FCC" w:rsidRPr="00020309" w:rsidRDefault="00ED4FCC" w:rsidP="00ED4FCC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>6. 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ED4FCC" w:rsidRPr="00020309" w:rsidRDefault="00ED4FCC" w:rsidP="00ED4FCC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>7. Председательствующий в порядке очередности предоставляет слово для выступления участникам слушаний.</w:t>
      </w:r>
    </w:p>
    <w:p w:rsidR="00ED4FCC" w:rsidRPr="00020309" w:rsidRDefault="00ED4FCC" w:rsidP="00ED4FCC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020309">
        <w:rPr>
          <w:rFonts w:ascii="Times New Roman" w:hAnsi="Times New Roman" w:cs="Times New Roman"/>
        </w:rPr>
        <w:t>Участвующие в  публичных слушаниях лица вправе задавать вопросы и выступать по существу рассматриваемого вопроса.</w:t>
      </w:r>
    </w:p>
    <w:p w:rsidR="00ED4FCC" w:rsidRPr="00A616E5" w:rsidRDefault="00ED4FCC" w:rsidP="00ED4FC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7.1. При проведении публичных слушаний, решение о которых принято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Недокурским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сельским Советом депутатов, председательствующим на указанных слушаниях может быть председатель сельского Совета депутатов либо уполномоченное им лицо.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7.2. При проведении публичных слушаний, решение о которых принято главой сельсовета, глава сельсовета или уполномоченное им лицо является председательствующим на указанных слушаниях.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7.3. Председательствующий ведет слушания и следит за порядком обсуждения вопросов повестки дня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7.4.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7.5.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7.6.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7.7. Слово для выступления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7.8.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7.9. На слушаниях ведется протокол, который подписывается председательствующем и секретарем.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7.10.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7.11. Протокол с приложением всех поступивших предложений направляется в комиссию по подготовке и проведению публичных слушаний для подготовки проекта заключения о результатах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7.12. Заключение о результатах публичных слушаний не позднее 10 дней со дня проведения публичных слушаний утверждается: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решением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если публичные слушания проводились по инициативе Совета депутатов;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б) постановлением главы сельсовета, если публичные слушания проводились по инициативе главы сельсовета.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7.13.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7.14. Неявка на публичные слушания жителей сельсовета, заявивших о своем намерении принять участие в публичных слушаниях, отсутствие жителей сельсовета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желающих </w:t>
      </w: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принять участие в публичных слушаниях, не являются основанием для переноса или повторного проведения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Особенности подготовки и проведения публичных слушаний по проектам нормативных правовых актов  </w:t>
      </w:r>
      <w:proofErr w:type="spellStart"/>
      <w:r w:rsidRPr="000C2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депутатов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8.1. Публичные слушания по проекту Устава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сельсовета, проекту правового акта о внесении изменений и дополнений в Устав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назначаются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Недокурским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сельским Советом депутатов.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8.2. Проект Устава, проект муниципального правового акта о внесении изменений и дополнений в Устав должны быть опубликованы одновременно с решением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Совета депутатов о назначении проведения публичных слушаний не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за 10 дней до начала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8.3. Срок подачи предложений граждан, проживающих на территории сельсовета, по проекту Устава и проекту правового акта о внесении изменений и дополнений в Устав 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должен составлять не менее 15 дней с момента официального опубликования о назначении проведения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8.4. Предложения и замечания участвующих в публичных слушаниях учитываются представительным органом при доработке правовых актов, вынесенных на рассмотрение, при принятии решений об их утверждении.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8.5. В течение 5 дней со дня окончания публичных слушаний комиссия по подготовке и проведению публичных слушаний публикует в средствах массовой информации обобщенные результаты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8.6. Рассмотрение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Недокурским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сельским советом  вопроса о принятии Устава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сельсовета, муниципального правового акта о внесении изменений и дополнений в Устав </w:t>
      </w:r>
      <w:proofErr w:type="spell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проходит после официального опубликования заключения о результатах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8.7. Проект местного бюджета и проект отчета об исполнении местного бюджета подлежат опубликованию не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за 15 дней до даты проведения публичных слушаний.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Проведение публичных слушаний по проекту генерального плана сельского поселения, проекту муниципального правового акта о внесении изменений и дополнений в гене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ральный план сельсовета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числе по внесению в них изменений, с учас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тием жителей сельсовета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проводятся в обязательном порядке.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9.2. Публичные слушания по проекту генерального плана сельского поселения проводятся в соответствии с 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п. 7.1, 7.3-7.11 настоящего Положения.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9.3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. В целях доведения до населения информации о содержании проекта генерального плана ад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министрация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поручению Совета депутатов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9.5. Срок проведения публичных слушаний по проекту генерального плана сельского поселения с момента оповещения жителе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трех месяцев.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9.6. Глав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сельсовета</w:t>
      </w: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учетом заключения о результатах публичных слушаний принимает решение: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1) о согласии с проектом генерального плана и направлении его в представительный орган сельского поселения на утверждение;</w:t>
      </w:r>
    </w:p>
    <w:p w:rsidR="00ED4FCC" w:rsidRPr="00C11B10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B10">
        <w:rPr>
          <w:rFonts w:ascii="Times New Roman" w:hAnsi="Times New Roman" w:cs="Times New Roman"/>
          <w:bCs/>
          <w:sz w:val="24"/>
          <w:szCs w:val="24"/>
          <w:lang w:eastAsia="ru-RU"/>
        </w:rPr>
        <w:t>2) об отклонении проекта генерального плана и о направлен</w:t>
      </w:r>
      <w:r w:rsidRPr="00A7478A">
        <w:rPr>
          <w:rFonts w:ascii="Times New Roman" w:hAnsi="Times New Roman" w:cs="Times New Roman"/>
          <w:bCs/>
          <w:sz w:val="28"/>
          <w:szCs w:val="28"/>
          <w:lang w:eastAsia="ru-RU"/>
        </w:rPr>
        <w:t>ии его на доработку.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9.7.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Проведение публичных слушаний по проекту правил землепользования и застройки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10.1.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10 дней со дня его получения.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10.2. Публичные слушания по проекту правил землепользования и застройки проводятся в соответствии с 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п. 7.2-7.11 настоящего Положения.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10.3. Продолжительность публичных слушаний по проекту правил землепользования и застройки составляет не более 4 месяцев со дня опубликования такого проекта.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10.4. </w:t>
      </w:r>
      <w:proofErr w:type="gram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10.5. </w:t>
      </w:r>
      <w:proofErr w:type="gram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подготовке и проведению публичных слушаний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10.6. Указанные извещения направляются в срок не позднее чем через 15 дней со дня принятия главо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й сельсовета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решения о проведении публичных слушаний по данному вопросу.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10.7. После завершения публичных слушаний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10.8. Глав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сельсовета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10 дней после представления ему проекта правил землепользования и застройки с внесенными изменениями принимает решение о направлении указанного проекта в представительный орган сельского поселения или об отклонении проекта и о направлении его на доработку с указанием даты его повторного представления.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10.9.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использования), направляет заявление о предоставлении разрешения на условно разрешенный вид использования глав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 сельсовета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11.2. Публичные слушания по данному вопросу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11.3. Сообщения о проведении публичных слушаний по данному вопросу направляются не позднее чем через 10 дней со дня поступления заявления заинтересованного лица.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11.4. Публичные слушания по вопросу предоставления разрешения на условно разрешенный вид использования проводятся в соответствии с </w:t>
      </w:r>
      <w:proofErr w:type="spell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. 7.2-7.11 настоящего Положения.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11.5.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- не более 1 месяца.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11.6. </w:t>
      </w:r>
      <w:proofErr w:type="gram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использования комиссия осуществляет подготовку рекомендаций о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11.7. Глава в течение 3 дней со дня поступления рекомендаций от комиссии принимает решение о предоставлении или об отказе в предоставлении такого разрешения.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11.8.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11.9. Расходы, связанные с организацией и проведением публичных слушаний по данному вопросу, несет физическое или юридическое лицо, заинтересованное в предоставлении такого разрешения.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Проведение публичных слушаний по вопросу проекта планировки территории и проекта межевани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территории сельсовета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12.1. Проекты планировки территории и межевания территории до их утверждения подлежат обязательному рассмотрению на публичных слушаниях.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12.2. Публичные слушания по данному вопросу проводятся в соответствии с </w:t>
      </w:r>
      <w:proofErr w:type="spell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. 7.2-7.11 настоящего Положения.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12.3.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12.4. Срок проведения публичных слушаний со дня оповещения жителе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трех месяцев.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12.5. Орган местного самоуправления поселения направляет главе сельского поселения подготовленную документацию по планировке территории, протокол публичных слушаний по данному вопросу и заключение о результатах публичных слушаний не позднее чем через 15 дней со дня проведения публичных слушаний.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12.6.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12.7. Утвержденная документация по планировке территории подлежит официальному опубликованию не позднее 5 дней со дня ее утверждения.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13. Итоги публичных слушаний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13.1.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13.2</w:t>
      </w: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случае назначения публичных слушаний главой сельского поселения </w:t>
      </w:r>
      <w:proofErr w:type="spellStart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Дашковское</w:t>
      </w:r>
      <w:proofErr w:type="spellEnd"/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материалы публичных слушаний хранятся у главы сельского поселения в течение срока его полномочий, а по истечении этого срока передаются в архив.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BA437D" w:rsidRDefault="00ED4FCC" w:rsidP="00ED4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 Основания прекращения проведения публичных слушаний и удаление граждан  из зала при проведении публичных слушаний, а также  о переносе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4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14.1. Создание реальной угрозы для жизни и здоровья граждан, а также для имущества физических и юридических лиц.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4F44">
        <w:rPr>
          <w:rFonts w:ascii="Times New Roman" w:hAnsi="Times New Roman" w:cs="Times New Roman"/>
          <w:bCs/>
          <w:sz w:val="24"/>
          <w:szCs w:val="24"/>
          <w:lang w:eastAsia="ru-RU"/>
        </w:rPr>
        <w:t>14.2. Совершение участниками публичных слушаний противоправных действий и умышленное нарушение организатором требований настоящего Положения.</w:t>
      </w:r>
    </w:p>
    <w:p w:rsidR="00ED4FCC" w:rsidRPr="00054F4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D4FCC" w:rsidTr="00CB214D">
        <w:tc>
          <w:tcPr>
            <w:tcW w:w="5000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4FCC" w:rsidRPr="003F0E56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3F0E5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риложение 1 </w:t>
            </w:r>
          </w:p>
          <w:p w:rsidR="00ED4FCC" w:rsidRPr="000C2F14" w:rsidRDefault="00ED4FCC" w:rsidP="00CB214D">
            <w:pPr>
              <w:ind w:left="-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5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 организации  и </w:t>
            </w:r>
            <w:proofErr w:type="spellStart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публичных</w:t>
            </w:r>
            <w:proofErr w:type="spellEnd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</w:t>
            </w:r>
          </w:p>
          <w:p w:rsidR="00ED4FCC" w:rsidRPr="000C2F14" w:rsidRDefault="00ED4FCC" w:rsidP="00CB214D">
            <w:pPr>
              <w:ind w:left="-6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Недокурском</w:t>
            </w:r>
            <w:proofErr w:type="spellEnd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</w:t>
            </w:r>
            <w:proofErr w:type="spellStart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Кежемского</w:t>
            </w:r>
            <w:proofErr w:type="spellEnd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края.</w:t>
            </w:r>
          </w:p>
          <w:p w:rsidR="00ED4FCC" w:rsidRPr="00656553" w:rsidRDefault="00ED4FCC" w:rsidP="00CB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FCC" w:rsidRPr="003F0E56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0C2F14" w:rsidRDefault="00ED4FCC" w:rsidP="00ED4FC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4FCC" w:rsidRPr="000C2F14" w:rsidRDefault="00ED4FCC" w:rsidP="00ED4FC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>СПИСОК</w:t>
      </w:r>
    </w:p>
    <w:p w:rsidR="00ED4FCC" w:rsidRPr="000C2F14" w:rsidRDefault="00ED4FCC" w:rsidP="00ED4FC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>ИНИЦИАТИВНОЙ ГРУППЫ ПО ПРОВЕДЕНИЮ ПУБЛИЧНЫХ СЛУШАНИЙ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Мы, нижеподписавшиеся, предлагаем провести публичные слушания по вопросу: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(формулировка вопроса, выносимого на публичные слушания)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5481" w:type="pct"/>
        <w:tblInd w:w="-885" w:type="dxa"/>
        <w:tblLook w:val="04A0"/>
      </w:tblPr>
      <w:tblGrid>
        <w:gridCol w:w="593"/>
        <w:gridCol w:w="1249"/>
        <w:gridCol w:w="2052"/>
        <w:gridCol w:w="1538"/>
        <w:gridCol w:w="1981"/>
        <w:gridCol w:w="909"/>
        <w:gridCol w:w="907"/>
        <w:gridCol w:w="1263"/>
      </w:tblGrid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возрвасте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лет дополнительно число и месяц рождения)</w:t>
            </w: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жительства, указанный в паспорте или документе, заменяющем его)</w:t>
            </w: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удостоверяющий личность (серия, номер, дата, выдачи паспорта или заменяющего его документа</w:t>
            </w:r>
          </w:p>
        </w:tc>
        <w:tc>
          <w:tcPr>
            <w:tcW w:w="865" w:type="pct"/>
            <w:gridSpan w:val="2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внесения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подписи</w:t>
            </w: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Список удостоверяю. Председатель инициативной группы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(фамилия, имя, отчество, его собственноручная подпись и дата ее внесения)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Список зарегистрирован в админист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рации сельсовета</w:t>
      </w: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________________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"___" __________ 20__ г.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(подпись должностного лица поселения,</w:t>
      </w:r>
      <w:proofErr w:type="gramEnd"/>
    </w:p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>принявшего</w:t>
      </w:r>
      <w:proofErr w:type="gramEnd"/>
      <w:r w:rsidRPr="003F0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документ)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4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tbl>
      <w:tblPr>
        <w:tblStyle w:val="a5"/>
        <w:tblW w:w="2278" w:type="pct"/>
        <w:tblInd w:w="5211" w:type="dxa"/>
        <w:tblLook w:val="04A0"/>
      </w:tblPr>
      <w:tblGrid>
        <w:gridCol w:w="4361"/>
      </w:tblGrid>
      <w:tr w:rsidR="00ED4FCC" w:rsidRPr="002A45BD" w:rsidTr="00CB21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4FCC" w:rsidRPr="002A45BD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5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ED4FCC" w:rsidRPr="002A45BD" w:rsidRDefault="00ED4FCC" w:rsidP="00CB214D">
            <w:pPr>
              <w:ind w:left="-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2A45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оложению</w:t>
            </w:r>
            <w:r w:rsidRPr="002A45B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 организации 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BD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  <w:p w:rsidR="00ED4FCC" w:rsidRPr="002A45BD" w:rsidRDefault="00ED4FCC" w:rsidP="00CB214D">
            <w:pPr>
              <w:ind w:left="-6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A45BD">
              <w:rPr>
                <w:rFonts w:ascii="Times New Roman" w:hAnsi="Times New Roman" w:cs="Times New Roman"/>
                <w:sz w:val="24"/>
                <w:szCs w:val="24"/>
              </w:rPr>
              <w:t>окурском</w:t>
            </w:r>
            <w:proofErr w:type="spellEnd"/>
            <w:r w:rsidRPr="002A4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2A45BD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2A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края.</w:t>
            </w:r>
          </w:p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FCC" w:rsidRPr="002A45BD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FCC" w:rsidRPr="002A45BD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4FCC" w:rsidRPr="002A45BD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45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ПОДПИСНОЙ ЛИСТ</w:t>
      </w:r>
    </w:p>
    <w:p w:rsidR="00ED4FCC" w:rsidRPr="002A45BD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45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Жителей  </w:t>
      </w:r>
      <w:proofErr w:type="spellStart"/>
      <w:r w:rsidRPr="002A45BD">
        <w:rPr>
          <w:rFonts w:ascii="Times New Roman" w:hAnsi="Times New Roman" w:cs="Times New Roman"/>
          <w:bCs/>
          <w:sz w:val="24"/>
          <w:szCs w:val="24"/>
          <w:lang w:eastAsia="ru-RU"/>
        </w:rPr>
        <w:t>Недокурского</w:t>
      </w:r>
      <w:proofErr w:type="spellEnd"/>
      <w:r w:rsidRPr="002A45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в поддержку инициативы проведения в поддержку инициативы проведения публичных слушаний </w:t>
      </w:r>
    </w:p>
    <w:p w:rsidR="00ED4FCC" w:rsidRPr="002A45BD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45BD">
        <w:rPr>
          <w:rFonts w:ascii="Times New Roman" w:hAnsi="Times New Roman" w:cs="Times New Roman"/>
          <w:bCs/>
          <w:sz w:val="24"/>
          <w:szCs w:val="24"/>
          <w:lang w:eastAsia="ru-RU"/>
        </w:rPr>
        <w:t>По вопросу: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478A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74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C2F14">
        <w:rPr>
          <w:rFonts w:ascii="Times New Roman" w:hAnsi="Times New Roman" w:cs="Times New Roman"/>
          <w:bCs/>
          <w:sz w:val="20"/>
          <w:szCs w:val="20"/>
          <w:lang w:eastAsia="ru-RU"/>
        </w:rPr>
        <w:t>(формулировка вопроса, выносимого на публичные слушания)</w:t>
      </w: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5481" w:type="pct"/>
        <w:tblInd w:w="-885" w:type="dxa"/>
        <w:tblLook w:val="04A0"/>
      </w:tblPr>
      <w:tblGrid>
        <w:gridCol w:w="593"/>
        <w:gridCol w:w="1249"/>
        <w:gridCol w:w="2052"/>
        <w:gridCol w:w="1538"/>
        <w:gridCol w:w="1981"/>
        <w:gridCol w:w="909"/>
        <w:gridCol w:w="907"/>
        <w:gridCol w:w="1263"/>
      </w:tblGrid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возрвасте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лет дополнительно число и месяц рождения)</w:t>
            </w: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жительства, указанный в паспорте или документе, заменяющем его)</w:t>
            </w: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удостоверяющий личность (серия, номер, дата, выдачи паспорта или заменяющего его документа</w:t>
            </w:r>
          </w:p>
        </w:tc>
        <w:tc>
          <w:tcPr>
            <w:tcW w:w="865" w:type="pct"/>
            <w:gridSpan w:val="2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внесения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подписи</w:t>
            </w: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FCC" w:rsidTr="00CB214D">
        <w:tc>
          <w:tcPr>
            <w:tcW w:w="28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4FCC" w:rsidRPr="003F0E56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7478A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Подписи  в поддержку  инициативы проведения публичных слушаний были собраны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с "___" __________ 20__ г. по "___" __________ 20__ г.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Сбор подписей осуществлял член инициативной группы: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proofErr w:type="gramStart"/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D4FCC" w:rsidRPr="000C2F14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адрес места жительства, указанный в паспорте, документ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удостоверяющий личность: вид, серия, номер, дата выдачи документа,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наименование органа, выдавшего документ, удостоверяющий личность)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Подписной лист заверяю. Член инициативной группы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(собственноручная подпись и дата </w:t>
      </w:r>
      <w:proofErr w:type="gramStart"/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заверения</w:t>
      </w:r>
      <w:proofErr w:type="gramEnd"/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подписного листа)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Подписной лист зарегистрирован в администрации сельского поселения 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"___" __________ 20__ г.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_____________________________________</w:t>
      </w:r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proofErr w:type="gramStart"/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(подпись должностного лица поселения,</w:t>
      </w:r>
      <w:proofErr w:type="gramEnd"/>
    </w:p>
    <w:p w:rsidR="00ED4FCC" w:rsidRPr="00A616E5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proofErr w:type="gramStart"/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принявшего</w:t>
      </w:r>
      <w:proofErr w:type="gramEnd"/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подписной лист)</w:t>
      </w: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A616E5">
        <w:rPr>
          <w:rFonts w:ascii="Times New Roman" w:hAnsi="Times New Roman" w:cs="Times New Roman"/>
          <w:bCs/>
          <w:sz w:val="24"/>
          <w:szCs w:val="24"/>
          <w:lang w:eastAsia="ru-RU"/>
        </w:rPr>
        <w:t>римечание. На одном подписном листе может быть внесено не более 20 подписей жителей сельского поселения, поддерживающих инициативу проведения публичных слушаний.</w:t>
      </w:r>
    </w:p>
    <w:p w:rsidR="00ED4FCC" w:rsidRDefault="00ED4FCC" w:rsidP="00ED4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0C2F14" w:rsidRDefault="00ED4FCC" w:rsidP="00ED4FCC">
      <w:pPr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2278" w:type="pc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D4FCC" w:rsidTr="00CB214D">
        <w:trPr>
          <w:trHeight w:val="470"/>
        </w:trPr>
        <w:tc>
          <w:tcPr>
            <w:tcW w:w="5000" w:type="pct"/>
          </w:tcPr>
          <w:p w:rsidR="00ED4FCC" w:rsidRPr="000C2F14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4FCC" w:rsidRPr="003F0E56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Приложение 3</w:t>
            </w:r>
            <w:r w:rsidRPr="003F0E5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4FCC" w:rsidRPr="000C2F14" w:rsidRDefault="00ED4FCC" w:rsidP="00CB214D">
            <w:pPr>
              <w:ind w:left="-6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к по</w:t>
            </w:r>
            <w:r w:rsidRPr="003F0E5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 организации  и провидении </w:t>
            </w:r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Недокурском</w:t>
            </w:r>
            <w:proofErr w:type="spellEnd"/>
          </w:p>
          <w:p w:rsidR="00ED4FCC" w:rsidRPr="000C2F14" w:rsidRDefault="00ED4FCC" w:rsidP="00CB214D">
            <w:pPr>
              <w:ind w:left="-64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</w:t>
            </w:r>
            <w:proofErr w:type="spellStart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>Кежемского</w:t>
            </w:r>
            <w:proofErr w:type="spellEnd"/>
            <w:r w:rsidRPr="000C2F14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края.</w:t>
            </w:r>
          </w:p>
          <w:p w:rsidR="00ED4FCC" w:rsidRDefault="00ED4FCC" w:rsidP="00CB2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D4FCC" w:rsidRPr="00656553" w:rsidRDefault="00ED4FCC" w:rsidP="00ED4FC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4FCC" w:rsidRPr="002A45BD" w:rsidRDefault="00ED4FCC" w:rsidP="00ED4FCC">
      <w:pPr>
        <w:jc w:val="center"/>
        <w:rPr>
          <w:rFonts w:ascii="Times New Roman" w:hAnsi="Times New Roman" w:cs="Times New Roman"/>
        </w:rPr>
      </w:pPr>
      <w:r w:rsidRPr="002A45BD">
        <w:rPr>
          <w:rFonts w:ascii="Times New Roman" w:hAnsi="Times New Roman" w:cs="Times New Roman"/>
          <w:sz w:val="20"/>
          <w:szCs w:val="20"/>
        </w:rPr>
        <w:t>.</w:t>
      </w:r>
      <w:r w:rsidRPr="002A45BD">
        <w:rPr>
          <w:rFonts w:ascii="Times New Roman" w:hAnsi="Times New Roman" w:cs="Times New Roman"/>
        </w:rPr>
        <w:t xml:space="preserve"> Л И С Т</w:t>
      </w:r>
    </w:p>
    <w:p w:rsidR="00ED4FCC" w:rsidRPr="002A45BD" w:rsidRDefault="00ED4FCC" w:rsidP="00ED4FCC">
      <w:pPr>
        <w:jc w:val="center"/>
        <w:rPr>
          <w:rFonts w:ascii="Times New Roman" w:hAnsi="Times New Roman" w:cs="Times New Roman"/>
        </w:rPr>
      </w:pPr>
      <w:r w:rsidRPr="002A45BD">
        <w:rPr>
          <w:rFonts w:ascii="Times New Roman" w:hAnsi="Times New Roman" w:cs="Times New Roman"/>
        </w:rPr>
        <w:t>регистрации участников публичных слушаний по обсуждению проектов решений___________________________________________________________________________________________________________________________________________________________</w:t>
      </w:r>
    </w:p>
    <w:p w:rsidR="00ED4FCC" w:rsidRPr="002A45BD" w:rsidRDefault="00ED4FCC" w:rsidP="00ED4FCC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779"/>
        <w:gridCol w:w="1173"/>
        <w:gridCol w:w="2785"/>
        <w:gridCol w:w="1036"/>
      </w:tblGrid>
      <w:tr w:rsidR="00ED4FCC" w:rsidRPr="002A45BD" w:rsidTr="00CB214D">
        <w:tc>
          <w:tcPr>
            <w:tcW w:w="417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45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5BD">
              <w:rPr>
                <w:rFonts w:ascii="Times New Roman" w:hAnsi="Times New Roman" w:cs="Times New Roman"/>
              </w:rPr>
              <w:t>/</w:t>
            </w:r>
            <w:proofErr w:type="spellStart"/>
            <w:r w:rsidRPr="002A45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4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>Год</w:t>
            </w:r>
          </w:p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55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541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  <w:r w:rsidRPr="002A45BD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ED4FCC" w:rsidRPr="002A45BD" w:rsidTr="00CB214D">
        <w:tc>
          <w:tcPr>
            <w:tcW w:w="417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ED4FCC" w:rsidRPr="002A45BD" w:rsidRDefault="00ED4FCC" w:rsidP="00CB2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FCC" w:rsidRPr="002A45BD" w:rsidRDefault="00ED4FCC" w:rsidP="00ED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CC"/>
    <w:rsid w:val="00545F68"/>
    <w:rsid w:val="00587FE9"/>
    <w:rsid w:val="00B75215"/>
    <w:rsid w:val="00DF0D45"/>
    <w:rsid w:val="00ED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FC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D4FC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ED4F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ED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5401</Words>
  <Characters>30792</Characters>
  <Application>Microsoft Office Word</Application>
  <DocSecurity>0</DocSecurity>
  <Lines>256</Lines>
  <Paragraphs>72</Paragraphs>
  <ScaleCrop>false</ScaleCrop>
  <Company/>
  <LinksUpToDate>false</LinksUpToDate>
  <CharactersWithSpaces>36121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2015-08-10T03:55:00Z</dcterms:created>
  <dcterms:modified xsi:type="dcterms:W3CDTF">2015-08-10T04:06:00Z</dcterms:modified>
</cp:coreProperties>
</file>